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8"/>
        <w:rPr>
          <w:rFonts w:ascii="Times New Roman"/>
          <w:sz w:val="20"/>
        </w:rPr>
      </w:pPr>
      <w:r>
        <w:rPr>
          <w:rFonts w:ascii="Times New Roman"/>
          <w:sz w:val="20"/>
        </w:rPr>
        <w:drawing>
          <wp:inline distT="0" distB="0" distL="0" distR="0">
            <wp:extent cx="849360" cy="78781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9360" cy="787812"/>
                    </a:xfrm>
                    <a:prstGeom prst="rect">
                      <a:avLst/>
                    </a:prstGeom>
                  </pic:spPr>
                </pic:pic>
              </a:graphicData>
            </a:graphic>
          </wp:inline>
        </w:drawing>
      </w:r>
      <w:r>
        <w:rPr>
          <w:rFonts w:ascii="Times New Roman"/>
          <w:sz w:val="20"/>
        </w:rPr>
      </w:r>
    </w:p>
    <w:p>
      <w:pPr>
        <w:pStyle w:val="BodyText"/>
        <w:spacing w:before="10"/>
        <w:rPr>
          <w:rFonts w:ascii="Times New Roman"/>
          <w:sz w:val="18"/>
        </w:rPr>
      </w:pPr>
    </w:p>
    <w:p>
      <w:pPr>
        <w:pStyle w:val="Heading1"/>
        <w:spacing w:before="93"/>
        <w:ind w:right="1690" w:firstLine="719"/>
      </w:pPr>
      <w:r>
        <w:rPr/>
        <w:pict>
          <v:shapetype id="_x0000_t202" o:spt="202" coordsize="21600,21600" path="m,l,21600r21600,l21600,xe">
            <v:stroke joinstyle="miter"/>
            <v:path gradientshapeok="t" o:connecttype="rect"/>
          </v:shapetype>
          <v:shape style="position:absolute;margin-left:20pt;margin-top:1.105566pt;width:29pt;height:230.7pt;mso-position-horizontal-relative:page;mso-position-vertical-relative:paragraph;z-index:-340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31/01/2022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DIECIOCHO DE ENERO DE DOS MIL VEINTIDÓS, EN PRIMERA CONVOCATORIA, POR LA JUNTA DE GOBIERNO LOCAL.</w:t>
      </w:r>
    </w:p>
    <w:p>
      <w:pPr>
        <w:pStyle w:val="BodyText"/>
        <w:rPr>
          <w:b/>
          <w:sz w:val="26"/>
        </w:rPr>
      </w:pPr>
    </w:p>
    <w:p>
      <w:pPr>
        <w:pStyle w:val="BodyText"/>
        <w:rPr>
          <w:b/>
          <w:sz w:val="22"/>
        </w:rPr>
      </w:pPr>
    </w:p>
    <w:p>
      <w:pPr>
        <w:pStyle w:val="BodyText"/>
        <w:ind w:left="1344" w:right="1688" w:firstLine="719"/>
        <w:jc w:val="both"/>
      </w:pPr>
      <w:r>
        <w:rPr/>
        <w:t>En la Ciudad de </w:t>
      </w:r>
      <w:r>
        <w:rPr>
          <w:spacing w:val="-3"/>
        </w:rPr>
        <w:t>Gáldar, </w:t>
      </w:r>
      <w:r>
        <w:rPr/>
        <w:t>siendo las nueve horas del día dieciocho de Enero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Como Secretaria Accidental Doña Candelaria Guerra</w:t>
      </w:r>
      <w:r>
        <w:rPr>
          <w:spacing w:val="-42"/>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4"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144">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once de Enero de dos mil veintidós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right="1691"/>
      </w:pPr>
      <w:r>
        <w:rPr/>
        <w:pict>
          <v:shape style="position:absolute;margin-left:567.568359pt;margin-top:20.083580pt;width:14.75pt;height:274.5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7N9KHPPCZT9YMHKCM</w:t>
                  </w:r>
                  <w:r>
                    <w:rPr>
                      <w:spacing w:val="-9"/>
                      <w:sz w:val="12"/>
                    </w:rPr>
                    <w:t>L</w:t>
                  </w:r>
                  <w:r>
                    <w:rPr>
                      <w:spacing w:val="-1"/>
                      <w:sz w:val="12"/>
                    </w:rPr>
                    <w:t>WXWQ</w:t>
                  </w:r>
                  <w:r>
                    <w:rPr>
                      <w:spacing w:val="-5"/>
                      <w:sz w:val="12"/>
                    </w:rPr>
                    <w:t>A</w:t>
                  </w:r>
                  <w:r>
                    <w:rPr>
                      <w:spacing w:val="-1"/>
                      <w:sz w:val="12"/>
                    </w:rPr>
                    <w:t>W</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val="0"/>
        </w:rPr>
        <w:t>2º.- </w:t>
      </w:r>
      <w:r>
        <w:rPr>
          <w:u w:val="single"/>
        </w:rPr>
        <w:t>EXPEDIENTE 1320/2019. LICENCIA DE VADO (OCUPACIÓN DE</w:t>
      </w:r>
      <w:r>
        <w:rPr/>
        <w:t> </w:t>
      </w:r>
      <w:r>
        <w:rPr>
          <w:u w:val="single"/>
        </w:rPr>
        <w:t>DOMINIO PÚBLICO). ACUERDO PROCEDENTE</w:t>
      </w:r>
      <w:r>
        <w:rPr/>
        <w:t>.-</w:t>
      </w:r>
    </w:p>
    <w:p>
      <w:pPr>
        <w:pStyle w:val="BodyText"/>
        <w:tabs>
          <w:tab w:pos="9434" w:val="left" w:leader="none"/>
        </w:tabs>
        <w:spacing w:before="230"/>
        <w:ind w:left="1344" w:right="1689" w:firstLine="720"/>
        <w:jc w:val="both"/>
      </w:pPr>
      <w:r>
        <w:rPr/>
        <w:pict>
          <v:shape style="position:absolute;margin-left:317.640015pt;margin-top:39.55574pt;width:192.6pt;height:27.15pt;mso-position-horizontal-relative:page;mso-position-vertical-relative:paragraph;z-index:-3520" coordorigin="6353,791" coordsize="3852,543" path="m10205,1058l9792,1058,9792,791,8400,791,8400,1058,6353,1058,6353,1334,10205,1334,10205,1058e" filled="true" fillcolor="#000000" stroked="false">
            <v:path arrowok="t"/>
            <v:fill type="solid"/>
            <w10:wrap type="none"/>
          </v:shape>
        </w:pict>
      </w:r>
      <w:r>
        <w:rPr/>
        <w:pict>
          <v:rect style="position:absolute;margin-left:85.080002pt;margin-top:66.675354pt;width:62.879999pt;height:13.8pt;mso-position-horizontal-relative:page;mso-position-vertical-relative:paragraph;z-index:-349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de Don Vicente Rodríguez Luján, </w:t>
      </w:r>
      <w:r>
        <w:rPr>
          <w:spacing w:val="17"/>
        </w:rPr>
        <w:t> </w:t>
      </w:r>
      <w:r>
        <w:rPr/>
        <w:t>con</w:t>
      </w:r>
      <w:r>
        <w:rPr>
          <w:spacing w:val="11"/>
        </w:rPr>
        <w:t> </w:t>
      </w:r>
      <w:r>
        <w:rPr>
          <w:spacing w:val="-3"/>
          <w:sz w:val="23"/>
        </w:rPr>
        <w:t>D.N.I./N.I.F.</w:t>
      </w:r>
      <w:r>
        <w:rPr>
          <w:rFonts w:ascii="Times New Roman" w:hAnsi="Times New Roman"/>
          <w:spacing w:val="-3"/>
          <w:sz w:val="23"/>
        </w:rPr>
        <w:tab/>
      </w:r>
      <w:r>
        <w:rPr/>
        <w:t>,</w:t>
      </w:r>
      <w:r>
        <w:rPr>
          <w:spacing w:val="11"/>
        </w:rPr>
        <w:t> </w:t>
      </w:r>
      <w:r>
        <w:rPr/>
        <w:t>en</w:t>
      </w:r>
      <w:r>
        <w:rPr>
          <w:rFonts w:ascii="Times New Roman" w:hAnsi="Times New Roman"/>
          <w:w w:val="99"/>
        </w:rPr>
        <w:t> </w:t>
      </w:r>
      <w:r>
        <w:rPr/>
        <w:t>nombre  y  representación  de  la  entidad</w:t>
      </w:r>
      <w:r>
        <w:rPr>
          <w:spacing w:val="50"/>
        </w:rPr>
        <w:t> </w:t>
      </w:r>
      <w:r>
        <w:rPr/>
        <w:t>“</w:t>
      </w:r>
    </w:p>
    <w:p>
      <w:pPr>
        <w:pStyle w:val="BodyText"/>
        <w:tabs>
          <w:tab w:pos="9727" w:val="left" w:leader="none"/>
        </w:tabs>
        <w:ind w:left="1344" w:right="1690" w:firstLine="1255"/>
        <w:jc w:val="right"/>
      </w:pPr>
      <w:r>
        <w:rPr/>
        <w:pict>
          <v:rect style="position:absolute;margin-left:486.47998pt;margin-top:13.77536pt;width:13.44pt;height:13.8pt;mso-position-horizontal-relative:page;mso-position-vertical-relative:paragraph;z-index:-3472" filled="true" fillcolor="#000000" stroked="false">
            <v:fill type="solid"/>
            <w10:wrap type="none"/>
          </v:rect>
        </w:pict>
      </w:r>
      <w:r>
        <w:rPr/>
        <w:pict>
          <v:rect style="position:absolute;margin-left:85.080002pt;margin-top:27.575359pt;width:13.32pt;height:13.8pt;mso-position-horizontal-relative:page;mso-position-vertical-relative:paragraph;z-index:-3448" filled="true" fillcolor="#000000" stroked="false">
            <v:fill type="solid"/>
            <w10:wrap type="none"/>
          </v:rect>
        </w:pict>
      </w:r>
      <w:r>
        <w:rPr/>
        <w:t>.”, en la que expone que disponiendo su representada de</w:t>
      </w:r>
      <w:r>
        <w:rPr>
          <w:spacing w:val="0"/>
        </w:rPr>
        <w:t> </w:t>
      </w:r>
      <w:r>
        <w:rPr/>
        <w:t>un recinto</w:t>
      </w:r>
      <w:r>
        <w:rPr>
          <w:rFonts w:ascii="Times New Roman" w:hAnsi="Times New Roman"/>
          <w:w w:val="99"/>
        </w:rPr>
        <w:t> </w:t>
      </w:r>
      <w:r>
        <w:rPr/>
        <w:t>cerrado</w:t>
      </w:r>
      <w:r>
        <w:rPr>
          <w:spacing w:val="18"/>
        </w:rPr>
        <w:t> </w:t>
      </w:r>
      <w:r>
        <w:rPr/>
        <w:t>con</w:t>
      </w:r>
      <w:r>
        <w:rPr>
          <w:spacing w:val="16"/>
        </w:rPr>
        <w:t> </w:t>
      </w:r>
      <w:r>
        <w:rPr/>
        <w:t>capacidad</w:t>
      </w:r>
      <w:r>
        <w:rPr>
          <w:spacing w:val="16"/>
        </w:rPr>
        <w:t> </w:t>
      </w:r>
      <w:r>
        <w:rPr/>
        <w:t>para</w:t>
      </w:r>
      <w:r>
        <w:rPr>
          <w:spacing w:val="18"/>
        </w:rPr>
        <w:t> </w:t>
      </w:r>
      <w:r>
        <w:rPr/>
        <w:t>cinco</w:t>
      </w:r>
      <w:r>
        <w:rPr>
          <w:spacing w:val="18"/>
        </w:rPr>
        <w:t> </w:t>
      </w:r>
      <w:r>
        <w:rPr/>
        <w:t>(5)</w:t>
      </w:r>
      <w:r>
        <w:rPr>
          <w:spacing w:val="17"/>
        </w:rPr>
        <w:t> </w:t>
      </w:r>
      <w:r>
        <w:rPr/>
        <w:t>vehículos</w:t>
      </w:r>
      <w:r>
        <w:rPr>
          <w:spacing w:val="15"/>
        </w:rPr>
        <w:t> </w:t>
      </w:r>
      <w:r>
        <w:rPr/>
        <w:t>en</w:t>
      </w:r>
      <w:r>
        <w:rPr>
          <w:spacing w:val="16"/>
        </w:rPr>
        <w:t> </w:t>
      </w:r>
      <w:r>
        <w:rPr/>
        <w:t>las</w:t>
      </w:r>
      <w:r>
        <w:rPr>
          <w:spacing w:val="17"/>
        </w:rPr>
        <w:t> </w:t>
      </w:r>
      <w:r>
        <w:rPr/>
        <w:t>parcelas</w:t>
      </w:r>
      <w:r>
        <w:rPr>
          <w:spacing w:val="15"/>
        </w:rPr>
        <w:t> </w:t>
      </w:r>
      <w:r>
        <w:rPr/>
        <w:t>números</w:t>
      </w:r>
      <w:r>
        <w:rPr>
          <w:rFonts w:ascii="Times New Roman" w:hAnsi="Times New Roman"/>
        </w:rPr>
        <w:tab/>
      </w:r>
      <w:r>
        <w:rPr>
          <w:spacing w:val="-1"/>
        </w:rPr>
        <w:t>y</w:t>
      </w:r>
      <w:r>
        <w:rPr>
          <w:rFonts w:ascii="Times New Roman" w:hAnsi="Times New Roman"/>
          <w:w w:val="99"/>
        </w:rPr>
        <w:t> </w:t>
      </w:r>
      <w:r>
        <w:rPr/>
        <w:t>del</w:t>
      </w:r>
      <w:r>
        <w:rPr>
          <w:spacing w:val="30"/>
        </w:rPr>
        <w:t> </w:t>
      </w:r>
      <w:r>
        <w:rPr/>
        <w:t>Polígono</w:t>
      </w:r>
      <w:r>
        <w:rPr>
          <w:spacing w:val="30"/>
        </w:rPr>
        <w:t> </w:t>
      </w:r>
      <w:r>
        <w:rPr/>
        <w:t>Industrial</w:t>
      </w:r>
      <w:r>
        <w:rPr>
          <w:spacing w:val="31"/>
        </w:rPr>
        <w:t> </w:t>
      </w:r>
      <w:r>
        <w:rPr/>
        <w:t>de</w:t>
      </w:r>
      <w:r>
        <w:rPr>
          <w:spacing w:val="30"/>
        </w:rPr>
        <w:t> </w:t>
      </w:r>
      <w:r>
        <w:rPr/>
        <w:t>San</w:t>
      </w:r>
      <w:r>
        <w:rPr>
          <w:spacing w:val="33"/>
        </w:rPr>
        <w:t> </w:t>
      </w:r>
      <w:r>
        <w:rPr/>
        <w:t>Isidro</w:t>
      </w:r>
      <w:r>
        <w:rPr>
          <w:spacing w:val="33"/>
        </w:rPr>
        <w:t> </w:t>
      </w:r>
      <w:r>
        <w:rPr/>
        <w:t>El</w:t>
      </w:r>
      <w:r>
        <w:rPr>
          <w:spacing w:val="31"/>
        </w:rPr>
        <w:t> </w:t>
      </w:r>
      <w:r>
        <w:rPr/>
        <w:t>Viejo,</w:t>
      </w:r>
      <w:r>
        <w:rPr>
          <w:spacing w:val="30"/>
        </w:rPr>
        <w:t> </w:t>
      </w:r>
      <w:r>
        <w:rPr/>
        <w:t>de</w:t>
      </w:r>
      <w:r>
        <w:rPr>
          <w:spacing w:val="30"/>
        </w:rPr>
        <w:t> </w:t>
      </w:r>
      <w:r>
        <w:rPr/>
        <w:t>este</w:t>
      </w:r>
      <w:r>
        <w:rPr>
          <w:spacing w:val="30"/>
        </w:rPr>
        <w:t> </w:t>
      </w:r>
      <w:r>
        <w:rPr/>
        <w:t>t.m.,</w:t>
      </w:r>
      <w:r>
        <w:rPr>
          <w:spacing w:val="30"/>
        </w:rPr>
        <w:t> </w:t>
      </w:r>
      <w:r>
        <w:rPr/>
        <w:t>es</w:t>
      </w:r>
      <w:r>
        <w:rPr>
          <w:spacing w:val="30"/>
        </w:rPr>
        <w:t> </w:t>
      </w:r>
      <w:r>
        <w:rPr/>
        <w:t>por</w:t>
      </w:r>
      <w:r>
        <w:rPr>
          <w:spacing w:val="30"/>
        </w:rPr>
        <w:t> </w:t>
      </w:r>
      <w:r>
        <w:rPr/>
        <w:t>lo</w:t>
      </w:r>
      <w:r>
        <w:rPr>
          <w:spacing w:val="30"/>
        </w:rPr>
        <w:t> </w:t>
      </w:r>
      <w:r>
        <w:rPr/>
        <w:t>que</w:t>
      </w:r>
      <w:r>
        <w:rPr>
          <w:rFonts w:ascii="Times New Roman" w:hAnsi="Times New Roman"/>
          <w:w w:val="99"/>
        </w:rPr>
        <w:t> </w:t>
      </w:r>
      <w:r>
        <w:rPr/>
        <w:t>viene</w:t>
      </w:r>
      <w:r>
        <w:rPr>
          <w:spacing w:val="10"/>
        </w:rPr>
        <w:t> </w:t>
      </w:r>
      <w:r>
        <w:rPr/>
        <w:t>a</w:t>
      </w:r>
      <w:r>
        <w:rPr>
          <w:spacing w:val="6"/>
        </w:rPr>
        <w:t> </w:t>
      </w:r>
      <w:r>
        <w:rPr/>
        <w:t>solicitar</w:t>
      </w:r>
      <w:r>
        <w:rPr>
          <w:spacing w:val="7"/>
        </w:rPr>
        <w:t> </w:t>
      </w:r>
      <w:r>
        <w:rPr/>
        <w:t>la</w:t>
      </w:r>
      <w:r>
        <w:rPr>
          <w:spacing w:val="10"/>
        </w:rPr>
        <w:t> </w:t>
      </w:r>
      <w:r>
        <w:rPr/>
        <w:t>concesión</w:t>
      </w:r>
      <w:r>
        <w:rPr>
          <w:spacing w:val="10"/>
        </w:rPr>
        <w:t> </w:t>
      </w:r>
      <w:r>
        <w:rPr/>
        <w:t>de</w:t>
      </w:r>
      <w:r>
        <w:rPr>
          <w:spacing w:val="10"/>
        </w:rPr>
        <w:t> </w:t>
      </w:r>
      <w:r>
        <w:rPr/>
        <w:t>un</w:t>
      </w:r>
      <w:r>
        <w:rPr>
          <w:spacing w:val="10"/>
        </w:rPr>
        <w:t> </w:t>
      </w:r>
      <w:r>
        <w:rPr>
          <w:spacing w:val="-6"/>
        </w:rPr>
        <w:t>Vado</w:t>
      </w:r>
      <w:r>
        <w:rPr>
          <w:spacing w:val="10"/>
        </w:rPr>
        <w:t> </w:t>
      </w:r>
      <w:r>
        <w:rPr/>
        <w:t>Permanente</w:t>
      </w:r>
      <w:r>
        <w:rPr>
          <w:spacing w:val="10"/>
        </w:rPr>
        <w:t> </w:t>
      </w:r>
      <w:r>
        <w:rPr/>
        <w:t>para</w:t>
      </w:r>
      <w:r>
        <w:rPr>
          <w:spacing w:val="6"/>
        </w:rPr>
        <w:t> </w:t>
      </w:r>
      <w:r>
        <w:rPr/>
        <w:t>“la</w:t>
      </w:r>
      <w:r>
        <w:rPr>
          <w:spacing w:val="6"/>
        </w:rPr>
        <w:t> </w:t>
      </w:r>
      <w:r>
        <w:rPr/>
        <w:t>entrada</w:t>
      </w:r>
      <w:r>
        <w:rPr>
          <w:spacing w:val="6"/>
        </w:rPr>
        <w:t> </w:t>
      </w:r>
      <w:r>
        <w:rPr/>
        <w:t>y</w:t>
      </w:r>
      <w:r>
        <w:rPr>
          <w:spacing w:val="8"/>
        </w:rPr>
        <w:t> </w:t>
      </w:r>
      <w:r>
        <w:rPr/>
        <w:t>salida</w:t>
      </w:r>
    </w:p>
    <w:p>
      <w:pPr>
        <w:pStyle w:val="BodyText"/>
        <w:ind w:left="1344"/>
      </w:pPr>
      <w:r>
        <w:rPr/>
        <w:t>de vehículos” del mismo.</w:t>
      </w:r>
    </w:p>
    <w:p>
      <w:pPr>
        <w:spacing w:before="0"/>
        <w:ind w:left="1344" w:right="1689" w:firstLine="719"/>
        <w:jc w:val="both"/>
        <w:rPr>
          <w:i/>
          <w:sz w:val="24"/>
        </w:rPr>
      </w:pPr>
      <w:r>
        <w:rPr>
          <w:sz w:val="24"/>
        </w:rPr>
        <w:t>Se da cuenta asimismo, de informe emitido por el Subinspector-Jefe de la Policía Local de este Ayuntamiento, con fecha 05 de febrero de 2019, en el que se hace constar que “</w:t>
      </w:r>
      <w:r>
        <w:rPr>
          <w:i/>
          <w:sz w:val="24"/>
        </w:rPr>
        <w:t>no existe inconveniente alguno en acceder a lo solicitado”.</w:t>
      </w:r>
    </w:p>
    <w:p>
      <w:pPr>
        <w:pStyle w:val="BodyText"/>
        <w:ind w:left="1344" w:right="1693" w:firstLine="719"/>
        <w:jc w:val="both"/>
      </w:pPr>
      <w:r>
        <w:rPr/>
        <w:t>Visto el informe del Negociado y de la Policía Municipal y, a tenor de lo establecido en los artículos 20.1, 20.3 y 20.3h) del Texto Refundido de la Ley</w:t>
      </w:r>
    </w:p>
    <w:p>
      <w:pPr>
        <w:pStyle w:val="BodyText"/>
        <w:spacing w:before="7"/>
        <w:rPr>
          <w:sz w:val="13"/>
        </w:rPr>
      </w:pPr>
      <w:r>
        <w:rPr/>
        <w:drawing>
          <wp:anchor distT="0" distB="0" distL="0" distR="0" allowOverlap="1" layoutInCell="1" locked="0" behindDoc="0" simplePos="0" relativeHeight="0">
            <wp:simplePos x="0" y="0"/>
            <wp:positionH relativeFrom="page">
              <wp:posOffset>1138427</wp:posOffset>
            </wp:positionH>
            <wp:positionV relativeFrom="paragraph">
              <wp:posOffset>124724</wp:posOffset>
            </wp:positionV>
            <wp:extent cx="5325477" cy="1428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25477" cy="142875"/>
                    </a:xfrm>
                    <a:prstGeom prst="rect">
                      <a:avLst/>
                    </a:prstGeom>
                  </pic:spPr>
                </pic:pic>
              </a:graphicData>
            </a:graphic>
          </wp:anchor>
        </w:drawing>
      </w:r>
    </w:p>
    <w:p>
      <w:pPr>
        <w:spacing w:before="67"/>
        <w:ind w:left="0" w:right="1690" w:firstLine="0"/>
        <w:jc w:val="right"/>
        <w:rPr>
          <w:sz w:val="20"/>
        </w:rPr>
      </w:pPr>
      <w:r>
        <w:rPr>
          <w:w w:val="95"/>
          <w:sz w:val="20"/>
        </w:rPr>
        <w:t>1/2</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tabs>
          <w:tab w:pos="5223" w:val="left" w:leader="none"/>
          <w:tab w:pos="8462" w:val="left" w:leader="none"/>
        </w:tabs>
        <w:spacing w:before="93"/>
        <w:ind w:left="1243" w:right="1249"/>
        <w:jc w:val="both"/>
      </w:pPr>
      <w:r>
        <w:rPr/>
        <w:pict>
          <v:shape style="position:absolute;margin-left:115.200005pt;margin-top:115.145523pt;width:395.05pt;height:41.4pt;mso-position-horizontal-relative:page;mso-position-vertical-relative:paragraph;z-index:-3352" coordorigin="2304,2303" coordsize="7901,828" path="m4690,2855l2741,2855,2741,3131,4690,3131,4690,2855m8921,2313l7529,2313,7529,2577,8921,2577,8921,2313m10205,2579l5683,2579,5683,2303,2304,2303,2304,2579,5371,2579,5371,2855,10205,2855,10205,2579e" filled="true" fillcolor="#000000" stroked="false">
            <v:path arrowok="t"/>
            <v:fill type="solid"/>
            <w10:wrap type="none"/>
          </v:shape>
        </w:pict>
      </w:r>
      <w:r>
        <w:rPr/>
        <w:t>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0"/>
        </w:rPr>
        <w:t> </w:t>
      </w:r>
      <w:r>
        <w:rPr/>
        <w:t>con</w:t>
      </w:r>
      <w:r>
        <w:rPr>
          <w:spacing w:val="5"/>
        </w:rPr>
        <w:t> </w:t>
      </w:r>
      <w:r>
        <w:rPr>
          <w:spacing w:val="-3"/>
          <w:sz w:val="23"/>
        </w:rPr>
        <w:t>D.N.I./N.I.F.</w:t>
      </w:r>
      <w:r>
        <w:rPr>
          <w:rFonts w:ascii="Times New Roman" w:hAnsi="Times New Roman"/>
          <w:spacing w:val="-3"/>
          <w:sz w:val="23"/>
        </w:rPr>
        <w:tab/>
      </w:r>
      <w:r>
        <w:rPr>
          <w:sz w:val="23"/>
        </w:rPr>
        <w:t>,</w:t>
      </w:r>
      <w:r>
        <w:rPr>
          <w:spacing w:val="-1"/>
          <w:sz w:val="23"/>
        </w:rPr>
        <w:t> </w:t>
      </w:r>
      <w:r>
        <w:rPr/>
        <w:t>en</w:t>
      </w:r>
      <w:r>
        <w:rPr>
          <w:spacing w:val="-1"/>
        </w:rPr>
        <w:t> </w:t>
      </w:r>
      <w:r>
        <w:rPr/>
        <w:t>nombre</w:t>
      </w:r>
      <w:r>
        <w:rPr>
          <w:rFonts w:ascii="Times New Roman" w:hAnsi="Times New Roman"/>
          <w:w w:val="99"/>
        </w:rPr>
        <w:t> </w:t>
      </w:r>
      <w:r>
        <w:rPr/>
        <w:t>y  representación  de  la </w:t>
      </w:r>
      <w:r>
        <w:rPr>
          <w:spacing w:val="25"/>
        </w:rPr>
        <w:t> </w:t>
      </w:r>
      <w:r>
        <w:rPr/>
        <w:t>entidad</w:t>
      </w:r>
    </w:p>
    <w:p>
      <w:pPr>
        <w:pStyle w:val="BodyText"/>
        <w:tabs>
          <w:tab w:pos="4231" w:val="left" w:leader="none"/>
        </w:tabs>
        <w:ind w:left="1243" w:right="1251" w:firstLine="427"/>
        <w:jc w:val="both"/>
      </w:pPr>
      <w:r>
        <w:rPr/>
        <w:pict>
          <v:rect style="position:absolute;margin-left:85.080002pt;margin-top:.095229pt;width:21.36pt;height:13.8pt;mso-position-horizontal-relative:page;mso-position-vertical-relative:paragraph;z-index:-3328" filled="true" fillcolor="#000000" stroked="false">
            <v:fill type="solid"/>
            <w10:wrap type="none"/>
          </v:rect>
        </w:pict>
      </w:r>
      <w:r>
        <w:rPr/>
        <w:pict>
          <v:rect style="position:absolute;margin-left:264.959991pt;margin-top:41.495228pt;width:13.32pt;height:13.8pt;mso-position-horizontal-relative:page;mso-position-vertical-relative:paragraph;z-index:-3304" filled="true" fillcolor="#000000" stroked="false">
            <v:fill type="solid"/>
            <w10:wrap type="none"/>
          </v:rect>
        </w:pict>
      </w:r>
      <w:r>
        <w:rPr/>
        <w:pict>
          <v:rect style="position:absolute;margin-left:291pt;margin-top:41.495228pt;width:13.32pt;height:13.8pt;mso-position-horizontal-relative:page;mso-position-vertical-relative:paragraph;z-index:-3280" filled="true" fillcolor="#000000" stroked="false">
            <v:fill type="solid"/>
            <w10:wrap type="none"/>
          </v:rect>
        </w:pict>
      </w:r>
      <w:r>
        <w:rPr/>
        <w:t>,</w:t>
      </w:r>
      <w:r>
        <w:rPr>
          <w:spacing w:val="10"/>
        </w:rPr>
        <w:t> </w:t>
      </w:r>
      <w:r>
        <w:rPr/>
        <w:t>con</w:t>
      </w:r>
      <w:r>
        <w:rPr>
          <w:rFonts w:ascii="Times New Roman" w:hAnsi="Times New Roman"/>
        </w:rPr>
        <w:tab/>
      </w:r>
      <w:r>
        <w:rPr/>
        <w:t>, </w:t>
      </w:r>
      <w:r>
        <w:rPr>
          <w:spacing w:val="-5"/>
        </w:rPr>
        <w:t>VADO </w:t>
      </w:r>
      <w:r>
        <w:rPr/>
        <w:t>PERMANENTE NÚM. 583, para</w:t>
      </w:r>
      <w:r>
        <w:rPr>
          <w:spacing w:val="63"/>
        </w:rPr>
        <w:t> </w:t>
      </w:r>
      <w:r>
        <w:rPr/>
        <w:t>la</w:t>
      </w:r>
      <w:r>
        <w:rPr>
          <w:spacing w:val="10"/>
        </w:rPr>
        <w:t> </w:t>
      </w:r>
      <w:r>
        <w:rPr/>
        <w:t>entrada</w:t>
      </w:r>
      <w:r>
        <w:rPr>
          <w:rFonts w:ascii="Times New Roman" w:hAnsi="Times New Roman"/>
          <w:w w:val="99"/>
        </w:rPr>
        <w:t> </w:t>
      </w:r>
      <w:r>
        <w:rPr/>
        <w:t>y salida de vehículos (5) plazas </w:t>
      </w:r>
      <w:r>
        <w:rPr>
          <w:spacing w:val="-5"/>
        </w:rPr>
        <w:t>(Tarifa </w:t>
      </w:r>
      <w:r>
        <w:rPr/>
        <w:t>1.c de la Ordenanza Fiscal correspondiente), en el recinto cerrado sito en el Polígono Industrial de San Isidro El Viejo, Parcelas números      y     , de este</w:t>
      </w:r>
      <w:r>
        <w:rPr>
          <w:spacing w:val="-28"/>
        </w:rPr>
        <w:t> </w:t>
      </w:r>
      <w:r>
        <w:rPr/>
        <w:t>t.m.</w:t>
      </w:r>
    </w:p>
    <w:p>
      <w:pPr>
        <w:pStyle w:val="BodyText"/>
        <w:spacing w:before="11"/>
        <w:rPr>
          <w:sz w:val="23"/>
        </w:rPr>
      </w:pPr>
    </w:p>
    <w:p>
      <w:pPr>
        <w:pStyle w:val="BodyText"/>
        <w:ind w:left="1243" w:right="1254" w:firstLine="720"/>
        <w:jc w:val="both"/>
      </w:pPr>
      <w:r>
        <w:rPr>
          <w:b/>
          <w:u w:val="single"/>
        </w:rPr>
        <w:t>URGENCIA</w:t>
      </w:r>
      <w:r>
        <w:rPr/>
        <w:t>.- Seguidamente y previa Declaración de Urgencia acordada por unanimidad, fue tratado el siguiente asunto:</w:t>
      </w:r>
    </w:p>
    <w:p>
      <w:pPr>
        <w:pStyle w:val="BodyText"/>
        <w:spacing w:before="11"/>
        <w:rPr>
          <w:sz w:val="23"/>
        </w:rPr>
      </w:pPr>
    </w:p>
    <w:p>
      <w:pPr>
        <w:pStyle w:val="Heading1"/>
        <w:ind w:left="1243" w:right="1255"/>
        <w:rPr>
          <w:b w:val="0"/>
        </w:rPr>
      </w:pPr>
      <w:r>
        <w:rPr>
          <w:b w:val="0"/>
        </w:rPr>
        <w:t>A).- </w:t>
      </w:r>
      <w:r>
        <w:rPr>
          <w:u w:val="single"/>
        </w:rPr>
        <w:t>APROBACIÓN DE LA “2ª FASE DEL PROYECTO DE</w:t>
      </w:r>
      <w:r>
        <w:rPr/>
        <w:t> </w:t>
      </w:r>
      <w:r>
        <w:rPr>
          <w:u w:val="single"/>
        </w:rPr>
        <w:t>ESTABILIZACIÓN DEL TALUD DE LA PLAYA DE SARDINA”. ACUERDO</w:t>
      </w:r>
      <w:r>
        <w:rPr/>
        <w:t> </w:t>
      </w:r>
      <w:r>
        <w:rPr>
          <w:u w:val="single"/>
        </w:rPr>
        <w:t>PROCEDENTE</w:t>
      </w:r>
      <w:r>
        <w:rPr>
          <w:b w:val="0"/>
        </w:rPr>
        <w:t>.-</w:t>
      </w:r>
    </w:p>
    <w:p>
      <w:pPr>
        <w:pStyle w:val="BodyText"/>
        <w:spacing w:before="11"/>
        <w:rPr>
          <w:sz w:val="23"/>
        </w:rPr>
      </w:pPr>
    </w:p>
    <w:p>
      <w:pPr>
        <w:pStyle w:val="BodyText"/>
        <w:ind w:left="1244" w:right="1249" w:firstLine="719"/>
        <w:jc w:val="both"/>
      </w:pPr>
      <w:r>
        <w:rPr/>
        <w:t>Por el Señor Concejal de Urbanismo, Don Heriberto José Reyes Sánchez, se da cuenta de la aprobación de la “2ª </w:t>
      </w:r>
      <w:r>
        <w:rPr>
          <w:spacing w:val="-4"/>
        </w:rPr>
        <w:t>FASE </w:t>
      </w:r>
      <w:r>
        <w:rPr/>
        <w:t>DEL PROYECTO DE ESTABILIZACIÓN   DEL   </w:t>
      </w:r>
      <w:r>
        <w:rPr>
          <w:spacing w:val="-4"/>
        </w:rPr>
        <w:t>TALUD </w:t>
      </w:r>
      <w:r>
        <w:rPr>
          <w:spacing w:val="57"/>
        </w:rPr>
        <w:t> </w:t>
      </w:r>
      <w:r>
        <w:rPr/>
        <w:t>DE   LA   </w:t>
      </w:r>
      <w:r>
        <w:rPr>
          <w:spacing w:val="-8"/>
        </w:rPr>
        <w:t>PLAYA   </w:t>
      </w:r>
      <w:r>
        <w:rPr/>
        <w:t>DE   SARDINA”,   con  un</w:t>
      </w:r>
    </w:p>
    <w:p>
      <w:pPr>
        <w:pStyle w:val="BodyText"/>
        <w:ind w:left="1244" w:right="1254"/>
        <w:jc w:val="both"/>
      </w:pPr>
      <w:r>
        <w:rPr/>
        <w:t>presupuesto de 672.238,32 euros (IGIC incluido). Para la realización de las obras definidas en dicho proyecto, se precisa la utilización de terrenos públicos y privados, por lo que se requerirá a los propietarios para la financiación conjunta de su ejecución.</w:t>
      </w:r>
    </w:p>
    <w:p>
      <w:pPr>
        <w:pStyle w:val="BodyText"/>
        <w:ind w:left="1244" w:right="1252" w:firstLine="719"/>
        <w:jc w:val="both"/>
      </w:pPr>
      <w:r>
        <w:rPr/>
        <w:drawing>
          <wp:anchor distT="0" distB="0" distL="0" distR="0" allowOverlap="1" layoutInCell="1" locked="0" behindDoc="0" simplePos="0" relativeHeight="1312">
            <wp:simplePos x="0" y="0"/>
            <wp:positionH relativeFrom="page">
              <wp:posOffset>6858000</wp:posOffset>
            </wp:positionH>
            <wp:positionV relativeFrom="paragraph">
              <wp:posOffset>26107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proyecto, la Junta de Gobierno Local acordó por unanimidad aprobar la “2ª </w:t>
      </w:r>
      <w:r>
        <w:rPr>
          <w:spacing w:val="-4"/>
        </w:rPr>
        <w:t>FASE  </w:t>
      </w:r>
      <w:r>
        <w:rPr/>
        <w:t>DEL PROYECTO DE ESTABILIZACIÓN DEL  </w:t>
      </w:r>
      <w:r>
        <w:rPr>
          <w:spacing w:val="-4"/>
        </w:rPr>
        <w:t>TALUD  </w:t>
      </w:r>
      <w:r>
        <w:rPr/>
        <w:t>DE</w:t>
      </w:r>
    </w:p>
    <w:p>
      <w:pPr>
        <w:pStyle w:val="BodyText"/>
        <w:ind w:left="1244" w:right="1255"/>
        <w:jc w:val="both"/>
      </w:pPr>
      <w:r>
        <w:rPr/>
        <w:pict>
          <v:shape style="position:absolute;margin-left:567.568359pt;margin-top:10.923674pt;width:14.75pt;height:274.55pt;mso-position-horizontal-relative:page;mso-position-vertical-relative:paragraph;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7N9KHPPCZT9YMHKCM</w:t>
                  </w:r>
                  <w:r>
                    <w:rPr>
                      <w:spacing w:val="-9"/>
                      <w:sz w:val="12"/>
                    </w:rPr>
                    <w:t>L</w:t>
                  </w:r>
                  <w:r>
                    <w:rPr>
                      <w:spacing w:val="-1"/>
                      <w:sz w:val="12"/>
                    </w:rPr>
                    <w:t>WXWQ</w:t>
                  </w:r>
                  <w:r>
                    <w:rPr>
                      <w:spacing w:val="-5"/>
                      <w:sz w:val="12"/>
                    </w:rPr>
                    <w:t>A</w:t>
                  </w:r>
                  <w:r>
                    <w:rPr>
                      <w:spacing w:val="-1"/>
                      <w:sz w:val="12"/>
                    </w:rPr>
                    <w:t>W</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r>
        <w:rPr/>
        <w:t>LA PLAYA DE SARDINA”, con un presupuesto de 672.238,32 euros (IGIC incluido).</w:t>
      </w:r>
    </w:p>
    <w:p>
      <w:pPr>
        <w:pStyle w:val="BodyText"/>
      </w:pPr>
    </w:p>
    <w:p>
      <w:pPr>
        <w:spacing w:before="0"/>
        <w:ind w:left="1964" w:right="0" w:firstLine="0"/>
        <w:jc w:val="left"/>
        <w:rPr>
          <w:sz w:val="24"/>
        </w:rPr>
      </w:pPr>
      <w:r>
        <w:rPr>
          <w:sz w:val="24"/>
        </w:rPr>
        <w:t>3º.-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219"/>
        <w:ind w:left="0" w:right="1250" w:firstLine="0"/>
        <w:jc w:val="right"/>
        <w:rPr>
          <w:sz w:val="20"/>
        </w:rPr>
      </w:pPr>
      <w:r>
        <w:rPr>
          <w:w w:val="95"/>
          <w:sz w:val="20"/>
        </w:rPr>
        <w:t>2/2</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220118.JGL</dc:title>
  <dcterms:created xsi:type="dcterms:W3CDTF">2022-05-08T13:41:11Z</dcterms:created>
  <dcterms:modified xsi:type="dcterms:W3CDTF">2022-05-08T13:41:11Z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PDFCreator 2.3.0.103</vt:lpwstr>
  </property>
  <property fmtid="{D5CDD505-2E9C-101B-9397-08002B2CF9AE}" pid="4" name="LastSaved">
    <vt:filetime>2022-05-08T00:00:00Z</vt:filetime>
  </property>
</Properties>
</file>